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11" w:rsidRDefault="00F654E0" w:rsidP="00292811">
      <w:pPr>
        <w:tabs>
          <w:tab w:val="left" w:pos="-720"/>
        </w:tabs>
        <w:suppressAutoHyphens/>
        <w:jc w:val="center"/>
        <w:rPr>
          <w:b/>
          <w:caps/>
          <w:spacing w:val="-4"/>
          <w:sz w:val="28"/>
          <w:szCs w:val="28"/>
        </w:rPr>
      </w:pPr>
      <w:r>
        <w:rPr>
          <w:b/>
          <w:caps/>
          <w:spacing w:val="-4"/>
          <w:sz w:val="28"/>
          <w:szCs w:val="28"/>
        </w:rPr>
        <w:t>AEA</w:t>
      </w:r>
      <w:r w:rsidR="0099290A">
        <w:rPr>
          <w:b/>
          <w:caps/>
          <w:spacing w:val="-4"/>
          <w:sz w:val="28"/>
          <w:szCs w:val="28"/>
        </w:rPr>
        <w:t xml:space="preserve"> </w:t>
      </w:r>
      <w:r w:rsidR="00292811" w:rsidRPr="00B37A45">
        <w:rPr>
          <w:b/>
          <w:caps/>
          <w:spacing w:val="-4"/>
          <w:sz w:val="28"/>
          <w:szCs w:val="28"/>
        </w:rPr>
        <w:t>Investment Policy</w:t>
      </w:r>
      <w:r w:rsidR="00292811">
        <w:rPr>
          <w:b/>
          <w:caps/>
          <w:spacing w:val="-4"/>
          <w:sz w:val="28"/>
          <w:szCs w:val="28"/>
        </w:rPr>
        <w:t xml:space="preserve"> </w:t>
      </w:r>
    </w:p>
    <w:p w:rsidR="00292811" w:rsidRDefault="00292811" w:rsidP="00292811">
      <w:pPr>
        <w:tabs>
          <w:tab w:val="left" w:pos="-720"/>
        </w:tabs>
        <w:suppressAutoHyphens/>
        <w:jc w:val="center"/>
        <w:rPr>
          <w:b/>
          <w:caps/>
          <w:spacing w:val="-4"/>
          <w:sz w:val="28"/>
          <w:szCs w:val="28"/>
        </w:rPr>
      </w:pPr>
    </w:p>
    <w:p w:rsidR="00292811" w:rsidRPr="00292811" w:rsidRDefault="00292811" w:rsidP="00292811">
      <w:pPr>
        <w:tabs>
          <w:tab w:val="left" w:pos="-720"/>
        </w:tabs>
        <w:suppressAutoHyphens/>
        <w:jc w:val="center"/>
        <w:rPr>
          <w:b/>
          <w:caps/>
          <w:spacing w:val="-4"/>
        </w:rPr>
      </w:pPr>
      <w:r w:rsidRPr="00292811">
        <w:rPr>
          <w:b/>
          <w:caps/>
          <w:spacing w:val="-4"/>
        </w:rPr>
        <w:t>OPERATING</w:t>
      </w:r>
      <w:r w:rsidR="00A30231">
        <w:rPr>
          <w:b/>
          <w:caps/>
          <w:spacing w:val="-4"/>
        </w:rPr>
        <w:t>/RESERVE</w:t>
      </w:r>
      <w:r w:rsidRPr="00292811">
        <w:rPr>
          <w:b/>
          <w:caps/>
          <w:spacing w:val="-4"/>
        </w:rPr>
        <w:t xml:space="preserve"> FUND</w:t>
      </w:r>
    </w:p>
    <w:p w:rsidR="00292811" w:rsidRPr="00B37A45" w:rsidRDefault="00292811" w:rsidP="00292811">
      <w:pPr>
        <w:tabs>
          <w:tab w:val="left" w:pos="-720"/>
        </w:tabs>
        <w:suppressAutoHyphens/>
        <w:rPr>
          <w:spacing w:val="-4"/>
        </w:rPr>
      </w:pPr>
    </w:p>
    <w:p w:rsidR="00292811" w:rsidRPr="00FA5CE4" w:rsidRDefault="00292811" w:rsidP="00292811">
      <w:pPr>
        <w:widowControl w:val="0"/>
        <w:numPr>
          <w:ilvl w:val="0"/>
          <w:numId w:val="1"/>
        </w:numPr>
        <w:rPr>
          <w:b/>
          <w:sz w:val="22"/>
          <w:szCs w:val="22"/>
          <w:u w:val="single"/>
        </w:rPr>
      </w:pPr>
      <w:r w:rsidRPr="00FA5CE4">
        <w:rPr>
          <w:b/>
          <w:sz w:val="22"/>
          <w:szCs w:val="22"/>
          <w:u w:val="single"/>
        </w:rPr>
        <w:t>Definition:</w:t>
      </w:r>
    </w:p>
    <w:p w:rsidR="00292811" w:rsidRDefault="00292811" w:rsidP="00292811">
      <w:pPr>
        <w:ind w:left="720"/>
        <w:rPr>
          <w:sz w:val="22"/>
          <w:szCs w:val="22"/>
        </w:rPr>
      </w:pPr>
      <w:r>
        <w:rPr>
          <w:sz w:val="22"/>
          <w:szCs w:val="22"/>
        </w:rPr>
        <w:t>The Operating</w:t>
      </w:r>
      <w:r w:rsidR="00E3388B">
        <w:rPr>
          <w:sz w:val="22"/>
          <w:szCs w:val="22"/>
        </w:rPr>
        <w:t>/Reserve</w:t>
      </w:r>
      <w:r>
        <w:rPr>
          <w:sz w:val="22"/>
          <w:szCs w:val="22"/>
        </w:rPr>
        <w:t xml:space="preserve"> Fund provides high liquidity to meet the current (0-</w:t>
      </w:r>
      <w:r w:rsidR="00A30231">
        <w:rPr>
          <w:sz w:val="22"/>
          <w:szCs w:val="22"/>
        </w:rPr>
        <w:t>3</w:t>
      </w:r>
      <w:r>
        <w:rPr>
          <w:sz w:val="22"/>
          <w:szCs w:val="22"/>
        </w:rPr>
        <w:t xml:space="preserve"> year) financial obligations arising from operations.</w:t>
      </w:r>
    </w:p>
    <w:p w:rsidR="00292811" w:rsidRPr="00FA5CE4" w:rsidRDefault="00292811" w:rsidP="00292811">
      <w:pPr>
        <w:ind w:left="720"/>
        <w:rPr>
          <w:sz w:val="22"/>
          <w:szCs w:val="22"/>
        </w:rPr>
      </w:pPr>
    </w:p>
    <w:p w:rsidR="00292811" w:rsidRPr="002803BF" w:rsidRDefault="00292811" w:rsidP="00292811">
      <w:pPr>
        <w:widowControl w:val="0"/>
        <w:numPr>
          <w:ilvl w:val="0"/>
          <w:numId w:val="1"/>
        </w:numPr>
        <w:rPr>
          <w:b/>
          <w:sz w:val="22"/>
          <w:szCs w:val="22"/>
          <w:u w:val="single"/>
        </w:rPr>
      </w:pPr>
      <w:r w:rsidRPr="00FA5CE4">
        <w:rPr>
          <w:b/>
          <w:sz w:val="22"/>
          <w:szCs w:val="22"/>
          <w:u w:val="single"/>
        </w:rPr>
        <w:t>Objectives of</w:t>
      </w:r>
      <w:r>
        <w:rPr>
          <w:b/>
          <w:sz w:val="22"/>
          <w:szCs w:val="22"/>
          <w:u w:val="single"/>
        </w:rPr>
        <w:t xml:space="preserve"> Operating </w:t>
      </w:r>
      <w:r w:rsidRPr="00FA5CE4">
        <w:rPr>
          <w:b/>
          <w:sz w:val="22"/>
          <w:szCs w:val="22"/>
          <w:u w:val="single"/>
        </w:rPr>
        <w:t>Fund:</w:t>
      </w:r>
    </w:p>
    <w:p w:rsidR="00292811" w:rsidRDefault="00292811" w:rsidP="00292811">
      <w:pPr>
        <w:numPr>
          <w:ilvl w:val="2"/>
          <w:numId w:val="1"/>
        </w:numPr>
        <w:tabs>
          <w:tab w:val="clear" w:pos="2340"/>
          <w:tab w:val="num" w:pos="1620"/>
        </w:tabs>
        <w:ind w:left="1440"/>
        <w:rPr>
          <w:sz w:val="22"/>
          <w:szCs w:val="22"/>
          <w:u w:val="single"/>
        </w:rPr>
      </w:pPr>
      <w:r>
        <w:rPr>
          <w:sz w:val="22"/>
          <w:szCs w:val="22"/>
        </w:rPr>
        <w:t>Preservation of Capital</w:t>
      </w:r>
    </w:p>
    <w:p w:rsidR="00292811" w:rsidRDefault="00292811" w:rsidP="00292811">
      <w:pPr>
        <w:numPr>
          <w:ilvl w:val="2"/>
          <w:numId w:val="1"/>
        </w:numPr>
        <w:tabs>
          <w:tab w:val="clear" w:pos="2340"/>
          <w:tab w:val="num" w:pos="1620"/>
        </w:tabs>
        <w:ind w:left="1440"/>
        <w:rPr>
          <w:sz w:val="22"/>
          <w:szCs w:val="22"/>
        </w:rPr>
      </w:pPr>
      <w:r w:rsidRPr="00C62D1F">
        <w:rPr>
          <w:sz w:val="22"/>
          <w:szCs w:val="22"/>
        </w:rPr>
        <w:t>Income</w:t>
      </w:r>
      <w:r w:rsidR="00A30231">
        <w:rPr>
          <w:sz w:val="22"/>
          <w:szCs w:val="22"/>
        </w:rPr>
        <w:t xml:space="preserve"> and Growth</w:t>
      </w:r>
    </w:p>
    <w:p w:rsidR="00292811" w:rsidRPr="00C62D1F" w:rsidRDefault="00292811" w:rsidP="00292811">
      <w:pPr>
        <w:ind w:left="1440"/>
        <w:rPr>
          <w:sz w:val="22"/>
          <w:szCs w:val="22"/>
        </w:rPr>
      </w:pPr>
    </w:p>
    <w:p w:rsidR="00292811" w:rsidRPr="002803BF" w:rsidRDefault="00292811" w:rsidP="00292811">
      <w:pPr>
        <w:widowControl w:val="0"/>
        <w:numPr>
          <w:ilvl w:val="0"/>
          <w:numId w:val="1"/>
        </w:numPr>
        <w:rPr>
          <w:sz w:val="22"/>
          <w:szCs w:val="22"/>
          <w:u w:val="single"/>
        </w:rPr>
      </w:pPr>
      <w:r>
        <w:rPr>
          <w:b/>
          <w:sz w:val="22"/>
          <w:szCs w:val="22"/>
          <w:u w:val="single"/>
        </w:rPr>
        <w:t>Target Asset Allocation:</w:t>
      </w:r>
    </w:p>
    <w:p w:rsidR="00E97965" w:rsidRDefault="00292811" w:rsidP="00292811">
      <w:pPr>
        <w:widowControl w:val="0"/>
        <w:ind w:left="720"/>
        <w:rPr>
          <w:sz w:val="22"/>
          <w:szCs w:val="22"/>
        </w:rPr>
      </w:pPr>
      <w:r>
        <w:rPr>
          <w:sz w:val="22"/>
          <w:szCs w:val="22"/>
        </w:rPr>
        <w:t xml:space="preserve">The Operating Fund will be made up of </w:t>
      </w:r>
      <w:r w:rsidR="005B6382">
        <w:rPr>
          <w:sz w:val="22"/>
          <w:szCs w:val="22"/>
        </w:rPr>
        <w:t xml:space="preserve">no less than 80% “low-risk assets” and up to 20% socially responsible assets (SRI). Low risk assets include but are not limited to the following: US high grade corporate bonds (BBB rating or higher), GNMA bonds, US government bonds, as well as FDIC insured investments (cash, CDs, etc.). </w:t>
      </w:r>
    </w:p>
    <w:p w:rsidR="00E97965" w:rsidRDefault="00E97965" w:rsidP="00292811">
      <w:pPr>
        <w:widowControl w:val="0"/>
        <w:ind w:left="720"/>
        <w:rPr>
          <w:sz w:val="22"/>
          <w:szCs w:val="22"/>
        </w:rPr>
      </w:pPr>
    </w:p>
    <w:p w:rsidR="00292811" w:rsidRDefault="005B6382" w:rsidP="00292811">
      <w:pPr>
        <w:widowControl w:val="0"/>
        <w:ind w:left="720"/>
        <w:rPr>
          <w:sz w:val="22"/>
          <w:szCs w:val="22"/>
        </w:rPr>
      </w:pPr>
      <w:r>
        <w:rPr>
          <w:sz w:val="22"/>
          <w:szCs w:val="22"/>
        </w:rPr>
        <w:t>Socially responsible investments are to include investments into companies/funds that avoid investments in companies that make more than 5% of its total revenue from tobacco, gambling, alcohol, abortion, weaponry, and nuclear power. SRI investments deal with companies that promote environmental sustainability and alternative/clean technology efforts to generate long-term competitive financial returns and positive societal impact.</w:t>
      </w:r>
      <w:r w:rsidR="00364358" w:rsidRPr="00364358">
        <w:rPr>
          <w:sz w:val="22"/>
          <w:szCs w:val="22"/>
        </w:rPr>
        <w:t xml:space="preserve"> </w:t>
      </w:r>
      <w:r w:rsidR="00364358">
        <w:rPr>
          <w:sz w:val="22"/>
          <w:szCs w:val="22"/>
        </w:rPr>
        <w:t xml:space="preserve">The portion of the investments that is invested in equities must fit the FAB’s definition of “socially responsible investing”. </w:t>
      </w:r>
    </w:p>
    <w:p w:rsidR="00292811" w:rsidRDefault="00292811" w:rsidP="00292811">
      <w:pPr>
        <w:widowControl w:val="0"/>
        <w:ind w:left="720"/>
        <w:rPr>
          <w:sz w:val="22"/>
          <w:szCs w:val="22"/>
        </w:rPr>
      </w:pPr>
    </w:p>
    <w:p w:rsidR="00292811" w:rsidRDefault="00292811" w:rsidP="00292811">
      <w:pPr>
        <w:numPr>
          <w:ilvl w:val="0"/>
          <w:numId w:val="1"/>
        </w:numPr>
        <w:rPr>
          <w:b/>
          <w:sz w:val="22"/>
          <w:szCs w:val="22"/>
          <w:u w:val="single"/>
        </w:rPr>
      </w:pPr>
      <w:r w:rsidRPr="00186292">
        <w:rPr>
          <w:b/>
          <w:sz w:val="22"/>
          <w:szCs w:val="22"/>
          <w:u w:val="single"/>
        </w:rPr>
        <w:t>Roles &amp; Responsibilities:</w:t>
      </w:r>
    </w:p>
    <w:p w:rsidR="00EB48FB" w:rsidRDefault="00BB7342" w:rsidP="006A6343">
      <w:pPr>
        <w:widowControl w:val="0"/>
        <w:ind w:left="720"/>
        <w:rPr>
          <w:sz w:val="22"/>
          <w:szCs w:val="22"/>
        </w:rPr>
      </w:pPr>
      <w:r w:rsidRPr="006A6343">
        <w:rPr>
          <w:sz w:val="22"/>
          <w:szCs w:val="22"/>
        </w:rPr>
        <w:t xml:space="preserve">The ED shall not allow to be spent for </w:t>
      </w:r>
      <w:r w:rsidR="00D619A9">
        <w:rPr>
          <w:sz w:val="22"/>
          <w:szCs w:val="22"/>
        </w:rPr>
        <w:t>annual budget</w:t>
      </w:r>
      <w:r w:rsidRPr="006A6343">
        <w:rPr>
          <w:sz w:val="22"/>
          <w:szCs w:val="22"/>
        </w:rPr>
        <w:t xml:space="preserve"> combined net revenue less expenditures more than 20% of the general reserve within a given fiscal year as identified at the beginning of the fiscal year nor allow the </w:t>
      </w:r>
      <w:r w:rsidR="000A4B80">
        <w:rPr>
          <w:sz w:val="22"/>
          <w:szCs w:val="22"/>
        </w:rPr>
        <w:t>general reserve to fall below 20</w:t>
      </w:r>
      <w:r w:rsidRPr="006A6343">
        <w:rPr>
          <w:sz w:val="22"/>
          <w:szCs w:val="22"/>
        </w:rPr>
        <w:t xml:space="preserve">% of the operating reserve at any time without notifying the Board and identifying whether the Board wishes (a) to allow for fee increases in subsequent years, or (b) to change Goals Policies in subsequent years. </w:t>
      </w:r>
    </w:p>
    <w:p w:rsidR="00D619A9" w:rsidRPr="00BB7342" w:rsidRDefault="00D619A9" w:rsidP="006A6343">
      <w:pPr>
        <w:widowControl w:val="0"/>
        <w:ind w:left="720"/>
      </w:pPr>
    </w:p>
    <w:p w:rsidR="00292811" w:rsidRPr="00292811" w:rsidRDefault="00BB7342" w:rsidP="00292811">
      <w:pPr>
        <w:tabs>
          <w:tab w:val="left" w:pos="-720"/>
        </w:tabs>
        <w:suppressAutoHyphens/>
        <w:jc w:val="center"/>
        <w:rPr>
          <w:b/>
          <w:caps/>
          <w:spacing w:val="-4"/>
        </w:rPr>
      </w:pPr>
      <w:r>
        <w:rPr>
          <w:b/>
          <w:caps/>
          <w:spacing w:val="-4"/>
        </w:rPr>
        <w:t>OPERATING RESERVE</w:t>
      </w:r>
    </w:p>
    <w:p w:rsidR="00292811" w:rsidRPr="00B37A45" w:rsidRDefault="00292811" w:rsidP="00292811">
      <w:pPr>
        <w:tabs>
          <w:tab w:val="left" w:pos="-720"/>
        </w:tabs>
        <w:suppressAutoHyphens/>
        <w:rPr>
          <w:spacing w:val="-4"/>
        </w:rPr>
      </w:pPr>
    </w:p>
    <w:p w:rsidR="00292811" w:rsidRPr="00FA5CE4" w:rsidRDefault="00292811" w:rsidP="00292811">
      <w:pPr>
        <w:widowControl w:val="0"/>
        <w:numPr>
          <w:ilvl w:val="0"/>
          <w:numId w:val="1"/>
        </w:numPr>
        <w:rPr>
          <w:b/>
          <w:sz w:val="22"/>
          <w:szCs w:val="22"/>
          <w:u w:val="single"/>
        </w:rPr>
      </w:pPr>
      <w:r w:rsidRPr="00FA5CE4">
        <w:rPr>
          <w:b/>
          <w:sz w:val="22"/>
          <w:szCs w:val="22"/>
          <w:u w:val="single"/>
        </w:rPr>
        <w:t>Definition:</w:t>
      </w:r>
    </w:p>
    <w:p w:rsidR="00292811" w:rsidRDefault="006A6343" w:rsidP="00292811">
      <w:pPr>
        <w:ind w:left="720"/>
        <w:rPr>
          <w:sz w:val="22"/>
          <w:szCs w:val="22"/>
        </w:rPr>
      </w:pPr>
      <w:r>
        <w:rPr>
          <w:sz w:val="22"/>
          <w:szCs w:val="22"/>
        </w:rPr>
        <w:t xml:space="preserve">The operating reserve is an unrestricted fund balance set aside to stabilize our finances by providing a cushion against emergencies or large, unexpected fluctuations in income. AEA sets aside a minimum of 100% of the </w:t>
      </w:r>
      <w:r w:rsidR="00D619A9">
        <w:rPr>
          <w:sz w:val="22"/>
          <w:szCs w:val="22"/>
        </w:rPr>
        <w:t>current year</w:t>
      </w:r>
      <w:r>
        <w:rPr>
          <w:sz w:val="22"/>
          <w:szCs w:val="22"/>
        </w:rPr>
        <w:t xml:space="preserve"> budget as its operating reserve. </w:t>
      </w:r>
      <w:r w:rsidR="00292811">
        <w:rPr>
          <w:sz w:val="22"/>
          <w:szCs w:val="22"/>
        </w:rPr>
        <w:t xml:space="preserve">The </w:t>
      </w:r>
      <w:r w:rsidR="00BB7342">
        <w:rPr>
          <w:sz w:val="22"/>
          <w:szCs w:val="22"/>
        </w:rPr>
        <w:t xml:space="preserve">Operating Reserve is identified at the beginning of each fiscal year and is defined as the highest of either the current year’s estimated </w:t>
      </w:r>
      <w:r w:rsidR="00D619A9">
        <w:rPr>
          <w:sz w:val="22"/>
          <w:szCs w:val="22"/>
        </w:rPr>
        <w:t xml:space="preserve">current year </w:t>
      </w:r>
      <w:r w:rsidR="00BB7342">
        <w:rPr>
          <w:sz w:val="22"/>
          <w:szCs w:val="22"/>
        </w:rPr>
        <w:t>budget or either the immediate past two year’s actual expenses</w:t>
      </w:r>
      <w:r w:rsidR="00292811">
        <w:rPr>
          <w:sz w:val="22"/>
          <w:szCs w:val="22"/>
        </w:rPr>
        <w:t>.</w:t>
      </w:r>
      <w:r w:rsidR="00BB7342">
        <w:rPr>
          <w:sz w:val="22"/>
          <w:szCs w:val="22"/>
        </w:rPr>
        <w:t xml:space="preserve"> </w:t>
      </w:r>
    </w:p>
    <w:p w:rsidR="00D619A9" w:rsidRPr="00FA5CE4" w:rsidRDefault="00D619A9" w:rsidP="00292811">
      <w:pPr>
        <w:ind w:left="720"/>
        <w:rPr>
          <w:sz w:val="22"/>
          <w:szCs w:val="22"/>
        </w:rPr>
      </w:pPr>
    </w:p>
    <w:p w:rsidR="00292811" w:rsidRDefault="00ED2435" w:rsidP="00292811">
      <w:pPr>
        <w:widowControl w:val="0"/>
        <w:numPr>
          <w:ilvl w:val="0"/>
          <w:numId w:val="1"/>
        </w:numPr>
        <w:rPr>
          <w:b/>
          <w:sz w:val="22"/>
          <w:szCs w:val="22"/>
          <w:u w:val="single"/>
        </w:rPr>
      </w:pPr>
      <w:r>
        <w:rPr>
          <w:b/>
          <w:sz w:val="22"/>
          <w:szCs w:val="22"/>
          <w:u w:val="single"/>
        </w:rPr>
        <w:t>Objective</w:t>
      </w:r>
      <w:r w:rsidR="00292811" w:rsidRPr="00FA5CE4">
        <w:rPr>
          <w:b/>
          <w:sz w:val="22"/>
          <w:szCs w:val="22"/>
          <w:u w:val="single"/>
        </w:rPr>
        <w:t xml:space="preserve"> of</w:t>
      </w:r>
      <w:r w:rsidR="00292811">
        <w:rPr>
          <w:b/>
          <w:sz w:val="22"/>
          <w:szCs w:val="22"/>
          <w:u w:val="single"/>
        </w:rPr>
        <w:t xml:space="preserve"> Special </w:t>
      </w:r>
      <w:r w:rsidR="008A5B36">
        <w:rPr>
          <w:b/>
          <w:sz w:val="22"/>
          <w:szCs w:val="22"/>
          <w:u w:val="single"/>
        </w:rPr>
        <w:t>Operating Reserve</w:t>
      </w:r>
      <w:r w:rsidR="00292811" w:rsidRPr="00FA5CE4">
        <w:rPr>
          <w:b/>
          <w:sz w:val="22"/>
          <w:szCs w:val="22"/>
          <w:u w:val="single"/>
        </w:rPr>
        <w:t>:</w:t>
      </w:r>
    </w:p>
    <w:p w:rsidR="00ED2435" w:rsidRPr="00ED2435" w:rsidRDefault="00ED2435" w:rsidP="00ED2435">
      <w:pPr>
        <w:widowControl w:val="0"/>
        <w:ind w:left="720"/>
        <w:rPr>
          <w:sz w:val="22"/>
          <w:szCs w:val="22"/>
        </w:rPr>
      </w:pPr>
      <w:r>
        <w:rPr>
          <w:sz w:val="22"/>
          <w:szCs w:val="22"/>
        </w:rPr>
        <w:t>The Operating Reserve should provide 100% self-insurance required for next year’s budget</w:t>
      </w:r>
    </w:p>
    <w:p w:rsidR="00292811" w:rsidRDefault="00292811" w:rsidP="00292811">
      <w:pPr>
        <w:ind w:left="1440"/>
        <w:rPr>
          <w:sz w:val="22"/>
          <w:szCs w:val="22"/>
          <w:u w:val="single"/>
        </w:rPr>
      </w:pPr>
    </w:p>
    <w:p w:rsidR="00292811" w:rsidRPr="002803BF" w:rsidRDefault="00292811" w:rsidP="00292811">
      <w:pPr>
        <w:widowControl w:val="0"/>
        <w:numPr>
          <w:ilvl w:val="0"/>
          <w:numId w:val="1"/>
        </w:numPr>
        <w:rPr>
          <w:sz w:val="22"/>
          <w:szCs w:val="22"/>
          <w:u w:val="single"/>
        </w:rPr>
      </w:pPr>
      <w:r>
        <w:rPr>
          <w:b/>
          <w:sz w:val="22"/>
          <w:szCs w:val="22"/>
          <w:u w:val="single"/>
        </w:rPr>
        <w:t>Target Asset Allocation:</w:t>
      </w:r>
    </w:p>
    <w:p w:rsidR="00292811" w:rsidRPr="002803BF" w:rsidRDefault="00292811" w:rsidP="00292811">
      <w:pPr>
        <w:widowControl w:val="0"/>
        <w:ind w:left="720"/>
        <w:rPr>
          <w:sz w:val="22"/>
          <w:szCs w:val="22"/>
        </w:rPr>
      </w:pPr>
      <w:r>
        <w:rPr>
          <w:sz w:val="22"/>
          <w:szCs w:val="22"/>
        </w:rPr>
        <w:t xml:space="preserve">The </w:t>
      </w:r>
      <w:r w:rsidR="008A5B36">
        <w:rPr>
          <w:sz w:val="22"/>
          <w:szCs w:val="22"/>
        </w:rPr>
        <w:t>Operating Reserve</w:t>
      </w:r>
      <w:r>
        <w:rPr>
          <w:sz w:val="22"/>
          <w:szCs w:val="22"/>
        </w:rPr>
        <w:t xml:space="preserve"> will be made up of 100% fixed income and will be maintained in </w:t>
      </w:r>
      <w:r>
        <w:rPr>
          <w:sz w:val="22"/>
          <w:szCs w:val="22"/>
        </w:rPr>
        <w:lastRenderedPageBreak/>
        <w:t>a separate</w:t>
      </w:r>
      <w:r w:rsidR="00ED2435">
        <w:rPr>
          <w:sz w:val="22"/>
          <w:szCs w:val="22"/>
        </w:rPr>
        <w:t xml:space="preserve"> Merrill Lynch account from the General Reserve</w:t>
      </w:r>
      <w:r>
        <w:rPr>
          <w:sz w:val="22"/>
          <w:szCs w:val="22"/>
        </w:rPr>
        <w:t xml:space="preserve">.  </w:t>
      </w:r>
      <w:r w:rsidR="00ED2435">
        <w:rPr>
          <w:sz w:val="22"/>
          <w:szCs w:val="22"/>
        </w:rPr>
        <w:t>Allocation in the fixed income space are to include but not limited to the following</w:t>
      </w:r>
      <w:r w:rsidR="00506BEE">
        <w:rPr>
          <w:sz w:val="22"/>
          <w:szCs w:val="22"/>
        </w:rPr>
        <w:t xml:space="preserve"> short duration investments</w:t>
      </w:r>
      <w:r w:rsidR="00ED2435">
        <w:rPr>
          <w:sz w:val="22"/>
          <w:szCs w:val="22"/>
        </w:rPr>
        <w:t>: corporate bonds, senior floating rate funds, CDs, GNMA bonds, and US government bonds.</w:t>
      </w:r>
    </w:p>
    <w:p w:rsidR="00292811" w:rsidRDefault="00292811" w:rsidP="00292811">
      <w:pPr>
        <w:ind w:left="720"/>
        <w:rPr>
          <w:b/>
          <w:sz w:val="22"/>
          <w:szCs w:val="22"/>
          <w:u w:val="single"/>
        </w:rPr>
      </w:pPr>
    </w:p>
    <w:p w:rsidR="00ED2435" w:rsidRDefault="00292811" w:rsidP="00ED2435">
      <w:pPr>
        <w:numPr>
          <w:ilvl w:val="0"/>
          <w:numId w:val="1"/>
        </w:numPr>
        <w:rPr>
          <w:b/>
          <w:sz w:val="22"/>
          <w:szCs w:val="22"/>
          <w:u w:val="single"/>
        </w:rPr>
      </w:pPr>
      <w:r w:rsidRPr="00186292">
        <w:rPr>
          <w:b/>
          <w:sz w:val="22"/>
          <w:szCs w:val="22"/>
          <w:u w:val="single"/>
        </w:rPr>
        <w:t>Roles &amp; Responsibilities:</w:t>
      </w:r>
    </w:p>
    <w:p w:rsidR="00292811" w:rsidRPr="00ED2435" w:rsidRDefault="00ED2435" w:rsidP="00ED2435">
      <w:pPr>
        <w:ind w:left="720"/>
        <w:rPr>
          <w:b/>
          <w:sz w:val="22"/>
          <w:szCs w:val="22"/>
          <w:u w:val="single"/>
        </w:rPr>
      </w:pPr>
      <w:r w:rsidRPr="00ED2435">
        <w:rPr>
          <w:sz w:val="22"/>
          <w:szCs w:val="22"/>
        </w:rPr>
        <w:t>The Board sets the policy that establishes parameters on accessing the funds within the Operating Reser</w:t>
      </w:r>
      <w:r>
        <w:rPr>
          <w:sz w:val="22"/>
          <w:szCs w:val="22"/>
        </w:rPr>
        <w:t>ve. The Finance Advisors to the Board are to be an independent advisory group</w:t>
      </w:r>
      <w:r w:rsidR="00D619A9">
        <w:rPr>
          <w:sz w:val="22"/>
          <w:szCs w:val="22"/>
        </w:rPr>
        <w:t xml:space="preserve"> per the definitions of the policy manual</w:t>
      </w:r>
      <w:r>
        <w:rPr>
          <w:sz w:val="22"/>
          <w:szCs w:val="22"/>
        </w:rPr>
        <w:t>. Candidates for positions with signatory privileges must pass credit checks prior to nomination by the Board</w:t>
      </w:r>
      <w:r w:rsidR="00C520C9">
        <w:rPr>
          <w:sz w:val="22"/>
          <w:szCs w:val="22"/>
        </w:rPr>
        <w:t>.</w:t>
      </w:r>
    </w:p>
    <w:p w:rsidR="00292811" w:rsidRPr="002D5ED5" w:rsidRDefault="00292811" w:rsidP="00292811">
      <w:pPr>
        <w:ind w:left="1440"/>
        <w:rPr>
          <w:sz w:val="22"/>
          <w:szCs w:val="22"/>
          <w:u w:val="single"/>
        </w:rPr>
      </w:pPr>
    </w:p>
    <w:p w:rsidR="00292811" w:rsidRDefault="00292811" w:rsidP="00292811">
      <w:pPr>
        <w:widowControl w:val="0"/>
        <w:ind w:left="720"/>
        <w:rPr>
          <w:sz w:val="22"/>
          <w:szCs w:val="22"/>
        </w:rPr>
      </w:pPr>
    </w:p>
    <w:p w:rsidR="00292811" w:rsidRDefault="00292811" w:rsidP="00292811">
      <w:pPr>
        <w:numPr>
          <w:ilvl w:val="0"/>
          <w:numId w:val="1"/>
        </w:numPr>
        <w:rPr>
          <w:sz w:val="22"/>
          <w:szCs w:val="22"/>
        </w:rPr>
      </w:pPr>
      <w:r w:rsidRPr="00FA5CE4">
        <w:rPr>
          <w:b/>
          <w:sz w:val="22"/>
          <w:szCs w:val="22"/>
          <w:u w:val="single"/>
        </w:rPr>
        <w:t>Amendment of Investment Policy</w:t>
      </w:r>
    </w:p>
    <w:p w:rsidR="00292811" w:rsidRDefault="00292811" w:rsidP="00292811">
      <w:pPr>
        <w:ind w:left="720"/>
        <w:rPr>
          <w:sz w:val="22"/>
          <w:szCs w:val="22"/>
        </w:rPr>
      </w:pPr>
      <w:r>
        <w:rPr>
          <w:sz w:val="22"/>
          <w:szCs w:val="22"/>
        </w:rPr>
        <w:t xml:space="preserve">The </w:t>
      </w:r>
      <w:r w:rsidR="00A475FF">
        <w:rPr>
          <w:sz w:val="22"/>
          <w:szCs w:val="22"/>
        </w:rPr>
        <w:t>FAB</w:t>
      </w:r>
      <w:r>
        <w:rPr>
          <w:sz w:val="22"/>
          <w:szCs w:val="22"/>
        </w:rPr>
        <w:t xml:space="preserve"> will review the balance in the </w:t>
      </w:r>
      <w:r w:rsidR="00A475FF">
        <w:rPr>
          <w:sz w:val="22"/>
          <w:szCs w:val="22"/>
        </w:rPr>
        <w:t>AEA</w:t>
      </w:r>
      <w:r>
        <w:rPr>
          <w:sz w:val="22"/>
          <w:szCs w:val="22"/>
        </w:rPr>
        <w:t xml:space="preserve"> </w:t>
      </w:r>
      <w:r w:rsidR="00A475FF">
        <w:rPr>
          <w:sz w:val="22"/>
          <w:szCs w:val="22"/>
        </w:rPr>
        <w:t>Operating Reserve</w:t>
      </w:r>
      <w:r>
        <w:rPr>
          <w:sz w:val="22"/>
          <w:szCs w:val="22"/>
        </w:rPr>
        <w:t xml:space="preserve"> no less than once each year and make a recommendation to the </w:t>
      </w:r>
      <w:r w:rsidR="00A475FF">
        <w:rPr>
          <w:sz w:val="22"/>
          <w:szCs w:val="22"/>
        </w:rPr>
        <w:t>AEA</w:t>
      </w:r>
      <w:r>
        <w:rPr>
          <w:sz w:val="22"/>
          <w:szCs w:val="22"/>
        </w:rPr>
        <w:t xml:space="preserve"> Board of Directors if adjustments to the balance need to be made.</w:t>
      </w:r>
    </w:p>
    <w:p w:rsidR="00292811" w:rsidRDefault="00292811" w:rsidP="00292811">
      <w:pPr>
        <w:tabs>
          <w:tab w:val="left" w:pos="-720"/>
        </w:tabs>
        <w:suppressAutoHyphens/>
        <w:jc w:val="center"/>
        <w:rPr>
          <w:sz w:val="22"/>
          <w:szCs w:val="22"/>
        </w:rPr>
      </w:pPr>
    </w:p>
    <w:p w:rsidR="00292811" w:rsidRPr="00292811" w:rsidRDefault="00C520C9" w:rsidP="00292811">
      <w:pPr>
        <w:tabs>
          <w:tab w:val="left" w:pos="-720"/>
        </w:tabs>
        <w:suppressAutoHyphens/>
        <w:jc w:val="center"/>
        <w:rPr>
          <w:b/>
          <w:caps/>
          <w:spacing w:val="-4"/>
        </w:rPr>
      </w:pPr>
      <w:r>
        <w:rPr>
          <w:b/>
          <w:caps/>
          <w:spacing w:val="-4"/>
        </w:rPr>
        <w:t>General reserve</w:t>
      </w:r>
    </w:p>
    <w:p w:rsidR="00292811" w:rsidRPr="00B37A45" w:rsidRDefault="00292811" w:rsidP="00292811">
      <w:pPr>
        <w:tabs>
          <w:tab w:val="left" w:pos="-720"/>
        </w:tabs>
        <w:suppressAutoHyphens/>
        <w:rPr>
          <w:spacing w:val="-4"/>
        </w:rPr>
      </w:pPr>
    </w:p>
    <w:p w:rsidR="00292811" w:rsidRDefault="00292811" w:rsidP="00292811">
      <w:pPr>
        <w:widowControl w:val="0"/>
        <w:numPr>
          <w:ilvl w:val="0"/>
          <w:numId w:val="1"/>
        </w:numPr>
        <w:rPr>
          <w:b/>
          <w:sz w:val="22"/>
          <w:szCs w:val="22"/>
          <w:u w:val="single"/>
        </w:rPr>
      </w:pPr>
      <w:r w:rsidRPr="00FA5CE4">
        <w:rPr>
          <w:b/>
          <w:sz w:val="22"/>
          <w:szCs w:val="22"/>
          <w:u w:val="single"/>
        </w:rPr>
        <w:t>Definition:</w:t>
      </w:r>
    </w:p>
    <w:p w:rsidR="003639B1" w:rsidRPr="00FA5CE4" w:rsidRDefault="003639B1" w:rsidP="003639B1">
      <w:pPr>
        <w:widowControl w:val="0"/>
        <w:ind w:left="720"/>
        <w:rPr>
          <w:b/>
          <w:sz w:val="22"/>
          <w:szCs w:val="22"/>
          <w:u w:val="single"/>
        </w:rPr>
      </w:pPr>
      <w:r w:rsidRPr="00A563A6">
        <w:rPr>
          <w:rFonts w:asciiTheme="majorHAnsi" w:hAnsiTheme="majorHAnsi"/>
          <w:sz w:val="22"/>
          <w:szCs w:val="22"/>
        </w:rPr>
        <w:t xml:space="preserve">The General Reserve is an unrestricted fund balance representing those funds available for programs and services. </w:t>
      </w:r>
      <w:r w:rsidRPr="003639B1">
        <w:rPr>
          <w:rFonts w:asciiTheme="majorHAnsi" w:hAnsiTheme="majorHAnsi"/>
          <w:sz w:val="22"/>
          <w:szCs w:val="22"/>
        </w:rPr>
        <w:t>The General Reserve is identified at the beginning of each fiscal year and is defined as subtracting the Operating Reserve from the Net Assets of the Association at the close of the fiscal year.</w:t>
      </w:r>
    </w:p>
    <w:p w:rsidR="00292811" w:rsidRPr="00FA5CE4" w:rsidRDefault="00292811" w:rsidP="00292811">
      <w:pPr>
        <w:ind w:left="720"/>
        <w:rPr>
          <w:sz w:val="22"/>
          <w:szCs w:val="22"/>
        </w:rPr>
      </w:pPr>
    </w:p>
    <w:p w:rsidR="00292811" w:rsidRDefault="00C520C9" w:rsidP="00292811">
      <w:pPr>
        <w:widowControl w:val="0"/>
        <w:numPr>
          <w:ilvl w:val="0"/>
          <w:numId w:val="1"/>
        </w:numPr>
        <w:rPr>
          <w:b/>
          <w:sz w:val="22"/>
          <w:szCs w:val="22"/>
          <w:u w:val="single"/>
        </w:rPr>
      </w:pPr>
      <w:r>
        <w:rPr>
          <w:b/>
          <w:sz w:val="22"/>
          <w:szCs w:val="22"/>
          <w:u w:val="single"/>
        </w:rPr>
        <w:t>Purpose and Objective</w:t>
      </w:r>
      <w:r w:rsidR="00292811" w:rsidRPr="00FA5CE4">
        <w:rPr>
          <w:b/>
          <w:sz w:val="22"/>
          <w:szCs w:val="22"/>
          <w:u w:val="single"/>
        </w:rPr>
        <w:t xml:space="preserve"> of Investment Fund:</w:t>
      </w:r>
    </w:p>
    <w:p w:rsidR="00292811" w:rsidRPr="00FA5CE4" w:rsidRDefault="00292811" w:rsidP="00292811">
      <w:pPr>
        <w:widowControl w:val="0"/>
        <w:ind w:left="540"/>
        <w:rPr>
          <w:b/>
          <w:sz w:val="22"/>
          <w:szCs w:val="22"/>
          <w:u w:val="single"/>
        </w:rPr>
      </w:pPr>
    </w:p>
    <w:p w:rsidR="00292811" w:rsidRPr="00FA5CE4" w:rsidRDefault="00C520C9" w:rsidP="00C520C9">
      <w:pPr>
        <w:ind w:left="720"/>
        <w:rPr>
          <w:sz w:val="22"/>
          <w:szCs w:val="22"/>
          <w:u w:val="single"/>
        </w:rPr>
      </w:pPr>
      <w:r>
        <w:rPr>
          <w:sz w:val="22"/>
          <w:szCs w:val="22"/>
        </w:rPr>
        <w:t>The Objective of the General Reserve is t</w:t>
      </w:r>
      <w:r w:rsidR="00292811" w:rsidRPr="00FA5CE4">
        <w:rPr>
          <w:sz w:val="22"/>
          <w:szCs w:val="22"/>
        </w:rPr>
        <w:t xml:space="preserve">o </w:t>
      </w:r>
      <w:r w:rsidR="00B376BC">
        <w:rPr>
          <w:sz w:val="22"/>
          <w:szCs w:val="22"/>
        </w:rPr>
        <w:t xml:space="preserve">provide growth and income thru both fixed income and equities. </w:t>
      </w:r>
    </w:p>
    <w:p w:rsidR="00292811" w:rsidRPr="00FA5CE4" w:rsidRDefault="00292811" w:rsidP="00292811">
      <w:pPr>
        <w:rPr>
          <w:sz w:val="22"/>
          <w:szCs w:val="22"/>
        </w:rPr>
      </w:pPr>
      <w:r w:rsidRPr="00FA5CE4">
        <w:rPr>
          <w:sz w:val="22"/>
          <w:szCs w:val="22"/>
        </w:rPr>
        <w:tab/>
      </w:r>
    </w:p>
    <w:p w:rsidR="00292811" w:rsidRDefault="00292811" w:rsidP="00292811">
      <w:pPr>
        <w:numPr>
          <w:ilvl w:val="0"/>
          <w:numId w:val="1"/>
        </w:numPr>
        <w:rPr>
          <w:b/>
          <w:sz w:val="22"/>
          <w:szCs w:val="22"/>
          <w:u w:val="single"/>
        </w:rPr>
      </w:pPr>
      <w:r w:rsidRPr="00186292">
        <w:rPr>
          <w:b/>
          <w:sz w:val="22"/>
          <w:szCs w:val="22"/>
          <w:u w:val="single"/>
        </w:rPr>
        <w:t>Roles &amp; Responsibilities:</w:t>
      </w:r>
    </w:p>
    <w:p w:rsidR="003639B1" w:rsidRPr="003639B1" w:rsidRDefault="003639B1" w:rsidP="003639B1">
      <w:pPr>
        <w:pStyle w:val="ListParagraph"/>
        <w:widowControl w:val="0"/>
        <w:rPr>
          <w:b/>
          <w:sz w:val="22"/>
          <w:szCs w:val="22"/>
          <w:u w:val="single"/>
        </w:rPr>
      </w:pPr>
      <w:r w:rsidRPr="003639B1">
        <w:rPr>
          <w:rFonts w:asciiTheme="majorHAnsi" w:hAnsiTheme="majorHAnsi"/>
          <w:sz w:val="22"/>
          <w:szCs w:val="22"/>
        </w:rPr>
        <w:t>The Board establishes policy that sets parameters on accessing the funds within the General Reserve.</w:t>
      </w:r>
    </w:p>
    <w:p w:rsidR="00292811" w:rsidRPr="00C57EFE" w:rsidRDefault="00292811" w:rsidP="00B376BC">
      <w:pPr>
        <w:pStyle w:val="timesnewroman"/>
        <w:tabs>
          <w:tab w:val="num" w:pos="2160"/>
        </w:tabs>
        <w:jc w:val="left"/>
        <w:rPr>
          <w:rFonts w:ascii="Times New Roman" w:hAnsi="Times New Roman"/>
          <w:b w:val="0"/>
          <w:bCs w:val="0"/>
          <w:sz w:val="22"/>
          <w:szCs w:val="22"/>
        </w:rPr>
      </w:pPr>
    </w:p>
    <w:p w:rsidR="00292811" w:rsidRPr="00FA5CE4" w:rsidRDefault="00292811" w:rsidP="00292811">
      <w:pPr>
        <w:numPr>
          <w:ilvl w:val="0"/>
          <w:numId w:val="1"/>
        </w:numPr>
        <w:rPr>
          <w:sz w:val="22"/>
          <w:szCs w:val="22"/>
        </w:rPr>
      </w:pPr>
      <w:r w:rsidRPr="00FA5CE4">
        <w:rPr>
          <w:b/>
          <w:sz w:val="22"/>
          <w:szCs w:val="22"/>
          <w:u w:val="single"/>
        </w:rPr>
        <w:t>Portfolio Rebalancing:</w:t>
      </w:r>
    </w:p>
    <w:p w:rsidR="00292811" w:rsidRPr="00C57EFE" w:rsidRDefault="00F3001A" w:rsidP="00292811">
      <w:pPr>
        <w:ind w:left="720"/>
        <w:rPr>
          <w:sz w:val="22"/>
          <w:szCs w:val="22"/>
        </w:rPr>
      </w:pPr>
      <w:r>
        <w:rPr>
          <w:sz w:val="22"/>
          <w:szCs w:val="22"/>
        </w:rPr>
        <w:t>Allocation is to be reviewed on an annual basis. Target allocation is to not exceed 80% fixed income, and 20% equities. If equity allocation exceeds 20%, the portfolio will be rebalanced to target allocation of 80/20.</w:t>
      </w:r>
    </w:p>
    <w:p w:rsidR="00292811" w:rsidRDefault="00292811"/>
    <w:p w:rsidR="007B098B" w:rsidRDefault="007B098B"/>
    <w:p w:rsidR="007B098B" w:rsidRDefault="007B098B">
      <w:r>
        <w:t>Approval/Amendments:</w:t>
      </w:r>
    </w:p>
    <w:p w:rsidR="007B098B" w:rsidRDefault="007B098B">
      <w:r>
        <w:t xml:space="preserve">Board of Directors, </w:t>
      </w:r>
      <w:r w:rsidR="004C7347">
        <w:t xml:space="preserve">June 2016, </w:t>
      </w:r>
      <w:r w:rsidR="002C39B7">
        <w:t>approved</w:t>
      </w:r>
      <w:bookmarkStart w:id="0" w:name="_GoBack"/>
      <w:bookmarkEnd w:id="0"/>
    </w:p>
    <w:sectPr w:rsidR="007B09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679B"/>
    <w:multiLevelType w:val="hybridMultilevel"/>
    <w:tmpl w:val="27C28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155D84"/>
    <w:multiLevelType w:val="hybridMultilevel"/>
    <w:tmpl w:val="C2A26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5BC76E9"/>
    <w:multiLevelType w:val="hybridMultilevel"/>
    <w:tmpl w:val="3DE4B7AA"/>
    <w:lvl w:ilvl="0" w:tplc="0B5E5870">
      <w:start w:val="1"/>
      <w:numFmt w:val="upperRoman"/>
      <w:lvlText w:val="%1."/>
      <w:lvlJc w:val="right"/>
      <w:pPr>
        <w:tabs>
          <w:tab w:val="num" w:pos="720"/>
        </w:tabs>
        <w:ind w:left="720" w:hanging="180"/>
      </w:pPr>
      <w:rPr>
        <w:b/>
      </w:rPr>
    </w:lvl>
    <w:lvl w:ilvl="1" w:tplc="5D0C24EA">
      <w:start w:val="1"/>
      <w:numFmt w:val="decimal"/>
      <w:lvlText w:val="%2."/>
      <w:lvlJc w:val="left"/>
      <w:pPr>
        <w:tabs>
          <w:tab w:val="num" w:pos="1440"/>
        </w:tabs>
        <w:ind w:left="1440" w:hanging="360"/>
      </w:pPr>
      <w:rPr>
        <w:b w:val="0"/>
      </w:rPr>
    </w:lvl>
    <w:lvl w:ilvl="2" w:tplc="B5529674">
      <w:start w:val="1"/>
      <w:numFmt w:val="upperLetter"/>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C538EB"/>
    <w:multiLevelType w:val="hybridMultilevel"/>
    <w:tmpl w:val="B1F0F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11"/>
    <w:rsid w:val="00090C5B"/>
    <w:rsid w:val="000A4B80"/>
    <w:rsid w:val="00292811"/>
    <w:rsid w:val="002C39B7"/>
    <w:rsid w:val="003639B1"/>
    <w:rsid w:val="00364358"/>
    <w:rsid w:val="004C7347"/>
    <w:rsid w:val="00506BEE"/>
    <w:rsid w:val="005B6382"/>
    <w:rsid w:val="00651179"/>
    <w:rsid w:val="006A6343"/>
    <w:rsid w:val="006C2298"/>
    <w:rsid w:val="006D5CB8"/>
    <w:rsid w:val="00776E76"/>
    <w:rsid w:val="007B098B"/>
    <w:rsid w:val="008A5B36"/>
    <w:rsid w:val="0099290A"/>
    <w:rsid w:val="009D632A"/>
    <w:rsid w:val="00A30231"/>
    <w:rsid w:val="00A475FF"/>
    <w:rsid w:val="00B376BC"/>
    <w:rsid w:val="00BA0FF4"/>
    <w:rsid w:val="00BB7342"/>
    <w:rsid w:val="00C24DA3"/>
    <w:rsid w:val="00C520C9"/>
    <w:rsid w:val="00D619A9"/>
    <w:rsid w:val="00E13ECD"/>
    <w:rsid w:val="00E3388B"/>
    <w:rsid w:val="00E97965"/>
    <w:rsid w:val="00EB48FB"/>
    <w:rsid w:val="00ED2435"/>
    <w:rsid w:val="00F3001A"/>
    <w:rsid w:val="00F654E0"/>
    <w:rsid w:val="00F8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11"/>
    <w:pPr>
      <w:ind w:left="720"/>
      <w:contextualSpacing/>
    </w:pPr>
  </w:style>
  <w:style w:type="paragraph" w:customStyle="1" w:styleId="timesnewroman">
    <w:name w:val="times new roman"/>
    <w:basedOn w:val="Normal"/>
    <w:rsid w:val="00292811"/>
    <w:pPr>
      <w:jc w:val="center"/>
    </w:pPr>
    <w:rPr>
      <w:rFonts w:ascii="Garamond" w:hAnsi="Garamond"/>
      <w:b/>
      <w:bCs/>
      <w:sz w:val="32"/>
    </w:rPr>
  </w:style>
  <w:style w:type="character" w:styleId="CommentReference">
    <w:name w:val="annotation reference"/>
    <w:basedOn w:val="DefaultParagraphFont"/>
    <w:semiHidden/>
    <w:unhideWhenUsed/>
    <w:rsid w:val="00D619A9"/>
    <w:rPr>
      <w:sz w:val="16"/>
      <w:szCs w:val="16"/>
    </w:rPr>
  </w:style>
  <w:style w:type="paragraph" w:styleId="CommentText">
    <w:name w:val="annotation text"/>
    <w:basedOn w:val="Normal"/>
    <w:link w:val="CommentTextChar"/>
    <w:semiHidden/>
    <w:unhideWhenUsed/>
    <w:rsid w:val="00D619A9"/>
    <w:rPr>
      <w:sz w:val="20"/>
      <w:szCs w:val="20"/>
    </w:rPr>
  </w:style>
  <w:style w:type="character" w:customStyle="1" w:styleId="CommentTextChar">
    <w:name w:val="Comment Text Char"/>
    <w:basedOn w:val="DefaultParagraphFont"/>
    <w:link w:val="CommentText"/>
    <w:semiHidden/>
    <w:rsid w:val="00D619A9"/>
  </w:style>
  <w:style w:type="paragraph" w:styleId="CommentSubject">
    <w:name w:val="annotation subject"/>
    <w:basedOn w:val="CommentText"/>
    <w:next w:val="CommentText"/>
    <w:link w:val="CommentSubjectChar"/>
    <w:semiHidden/>
    <w:unhideWhenUsed/>
    <w:rsid w:val="00D619A9"/>
    <w:rPr>
      <w:b/>
      <w:bCs/>
    </w:rPr>
  </w:style>
  <w:style w:type="character" w:customStyle="1" w:styleId="CommentSubjectChar">
    <w:name w:val="Comment Subject Char"/>
    <w:basedOn w:val="CommentTextChar"/>
    <w:link w:val="CommentSubject"/>
    <w:semiHidden/>
    <w:rsid w:val="00D619A9"/>
    <w:rPr>
      <w:b/>
      <w:bCs/>
    </w:rPr>
  </w:style>
  <w:style w:type="paragraph" w:styleId="BalloonText">
    <w:name w:val="Balloon Text"/>
    <w:basedOn w:val="Normal"/>
    <w:link w:val="BalloonTextChar"/>
    <w:semiHidden/>
    <w:unhideWhenUsed/>
    <w:rsid w:val="00D619A9"/>
    <w:rPr>
      <w:rFonts w:ascii="Tahoma" w:hAnsi="Tahoma" w:cs="Tahoma"/>
      <w:sz w:val="16"/>
      <w:szCs w:val="16"/>
    </w:rPr>
  </w:style>
  <w:style w:type="character" w:customStyle="1" w:styleId="BalloonTextChar">
    <w:name w:val="Balloon Text Char"/>
    <w:basedOn w:val="DefaultParagraphFont"/>
    <w:link w:val="BalloonText"/>
    <w:semiHidden/>
    <w:rsid w:val="00D61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11"/>
    <w:pPr>
      <w:ind w:left="720"/>
      <w:contextualSpacing/>
    </w:pPr>
  </w:style>
  <w:style w:type="paragraph" w:customStyle="1" w:styleId="timesnewroman">
    <w:name w:val="times new roman"/>
    <w:basedOn w:val="Normal"/>
    <w:rsid w:val="00292811"/>
    <w:pPr>
      <w:jc w:val="center"/>
    </w:pPr>
    <w:rPr>
      <w:rFonts w:ascii="Garamond" w:hAnsi="Garamond"/>
      <w:b/>
      <w:bCs/>
      <w:sz w:val="32"/>
    </w:rPr>
  </w:style>
  <w:style w:type="character" w:styleId="CommentReference">
    <w:name w:val="annotation reference"/>
    <w:basedOn w:val="DefaultParagraphFont"/>
    <w:semiHidden/>
    <w:unhideWhenUsed/>
    <w:rsid w:val="00D619A9"/>
    <w:rPr>
      <w:sz w:val="16"/>
      <w:szCs w:val="16"/>
    </w:rPr>
  </w:style>
  <w:style w:type="paragraph" w:styleId="CommentText">
    <w:name w:val="annotation text"/>
    <w:basedOn w:val="Normal"/>
    <w:link w:val="CommentTextChar"/>
    <w:semiHidden/>
    <w:unhideWhenUsed/>
    <w:rsid w:val="00D619A9"/>
    <w:rPr>
      <w:sz w:val="20"/>
      <w:szCs w:val="20"/>
    </w:rPr>
  </w:style>
  <w:style w:type="character" w:customStyle="1" w:styleId="CommentTextChar">
    <w:name w:val="Comment Text Char"/>
    <w:basedOn w:val="DefaultParagraphFont"/>
    <w:link w:val="CommentText"/>
    <w:semiHidden/>
    <w:rsid w:val="00D619A9"/>
  </w:style>
  <w:style w:type="paragraph" w:styleId="CommentSubject">
    <w:name w:val="annotation subject"/>
    <w:basedOn w:val="CommentText"/>
    <w:next w:val="CommentText"/>
    <w:link w:val="CommentSubjectChar"/>
    <w:semiHidden/>
    <w:unhideWhenUsed/>
    <w:rsid w:val="00D619A9"/>
    <w:rPr>
      <w:b/>
      <w:bCs/>
    </w:rPr>
  </w:style>
  <w:style w:type="character" w:customStyle="1" w:styleId="CommentSubjectChar">
    <w:name w:val="Comment Subject Char"/>
    <w:basedOn w:val="CommentTextChar"/>
    <w:link w:val="CommentSubject"/>
    <w:semiHidden/>
    <w:rsid w:val="00D619A9"/>
    <w:rPr>
      <w:b/>
      <w:bCs/>
    </w:rPr>
  </w:style>
  <w:style w:type="paragraph" w:styleId="BalloonText">
    <w:name w:val="Balloon Text"/>
    <w:basedOn w:val="Normal"/>
    <w:link w:val="BalloonTextChar"/>
    <w:semiHidden/>
    <w:unhideWhenUsed/>
    <w:rsid w:val="00D619A9"/>
    <w:rPr>
      <w:rFonts w:ascii="Tahoma" w:hAnsi="Tahoma" w:cs="Tahoma"/>
      <w:sz w:val="16"/>
      <w:szCs w:val="16"/>
    </w:rPr>
  </w:style>
  <w:style w:type="character" w:customStyle="1" w:styleId="BalloonTextChar">
    <w:name w:val="Balloon Text Char"/>
    <w:basedOn w:val="DefaultParagraphFont"/>
    <w:link w:val="BalloonText"/>
    <w:semiHidden/>
    <w:rsid w:val="00D61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Alcock, Sarah</dc:creator>
  <cp:lastModifiedBy>Denise Roosendaal</cp:lastModifiedBy>
  <cp:revision>9</cp:revision>
  <cp:lastPrinted>2016-06-18T16:53:00Z</cp:lastPrinted>
  <dcterms:created xsi:type="dcterms:W3CDTF">2016-01-19T17:47:00Z</dcterms:created>
  <dcterms:modified xsi:type="dcterms:W3CDTF">2017-05-17T15:15:00Z</dcterms:modified>
</cp:coreProperties>
</file>